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ill Sans" w:cs="Gill Sans" w:eastAsia="Gill Sans" w:hAnsi="Gill Sans"/>
          <w:b w:val="1"/>
          <w:sz w:val="36"/>
          <w:szCs w:val="36"/>
        </w:rPr>
      </w:pPr>
      <w:r w:rsidDel="00000000" w:rsidR="00000000" w:rsidRPr="00000000">
        <w:rPr>
          <w:rFonts w:ascii="Gill Sans" w:cs="Gill Sans" w:eastAsia="Gill Sans" w:hAnsi="Gill Sans"/>
          <w:b w:val="1"/>
          <w:sz w:val="36"/>
          <w:szCs w:val="36"/>
          <w:rtl w:val="0"/>
        </w:rPr>
        <w:t xml:space="preserve">Frogger School Program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Lesson Topics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Elementary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 About Amphibians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Egg to Adult: Frog Life Stages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Protecting our Environment!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Intermediate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Awesome Aposematism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Harmful Habitat Change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High School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Ion Channels and Action Potentials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Chemical Defense: Alkaloids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Gill Sans">
    <w:embedBold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